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2D6E9FD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</w:t>
      </w:r>
      <w:r w:rsidR="002A2907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otrzymaniem</w:t>
      </w:r>
      <w:bookmarkStart w:id="0" w:name="_GoBack"/>
      <w:bookmarkEnd w:id="0"/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1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1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2A2907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5D898C1" w14:textId="77777777" w:rsidR="00B94B0D" w:rsidRPr="00014AF1" w:rsidRDefault="00B94B0D" w:rsidP="00B94B0D">
      <w:pPr>
        <w:pStyle w:val="Default"/>
        <w:spacing w:before="600" w:after="600" w:line="360" w:lineRule="auto"/>
        <w:ind w:right="79"/>
        <w:rPr>
          <w:rFonts w:eastAsia="Calibri"/>
        </w:rPr>
      </w:pPr>
      <w:r>
        <w:rPr>
          <w:iCs/>
        </w:rPr>
        <w:lastRenderedPageBreak/>
        <w:t>Data i podpis</w:t>
      </w:r>
      <w:r>
        <w:rPr>
          <w:rStyle w:val="Odwoanieprzypisukocowego"/>
          <w:iCs/>
        </w:rPr>
        <w:endnoteReference w:id="5"/>
      </w:r>
      <w:r>
        <w:rPr>
          <w:iCs/>
        </w:rPr>
        <w:t>:</w:t>
      </w:r>
    </w:p>
    <w:p w14:paraId="199A284F" w14:textId="77777777" w:rsidR="00362FB9" w:rsidRPr="00EA0E53" w:rsidRDefault="002A2907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2024 r. poz. 361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  <w:endnote w:id="5">
    <w:p w14:paraId="2168EC59" w14:textId="3704E8B3" w:rsidR="00B94B0D" w:rsidRPr="00EE4A56" w:rsidRDefault="00B94B0D" w:rsidP="00B94B0D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cs="Arial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Podpis osoby upoważnionej/podpisy osób upoważnionych do reprezentowania </w:t>
      </w:r>
      <w:r w:rsidR="00BF554D">
        <w:rPr>
          <w:rFonts w:ascii="Arial" w:hAnsi="Arial" w:cs="Arial"/>
          <w:sz w:val="24"/>
          <w:szCs w:val="24"/>
        </w:rPr>
        <w:t>wnioskodawcy/</w:t>
      </w:r>
      <w:r w:rsidRPr="00EE4A56">
        <w:rPr>
          <w:rFonts w:ascii="Arial" w:hAnsi="Arial" w:cs="Arial"/>
          <w:sz w:val="24"/>
          <w:szCs w:val="24"/>
        </w:rPr>
        <w:t>beneficjenta</w:t>
      </w:r>
      <w:r w:rsidR="00BF554D">
        <w:rPr>
          <w:rFonts w:ascii="Arial" w:hAnsi="Arial" w:cs="Arial"/>
          <w:sz w:val="24"/>
          <w:szCs w:val="24"/>
        </w:rPr>
        <w:t>/partnera/realizatora/podmiotu upoważnionego do ponoszenia wydatków</w:t>
      </w:r>
      <w:r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2A29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2A29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2A2907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B7940"/>
    <w:rsid w:val="00235349"/>
    <w:rsid w:val="002511F9"/>
    <w:rsid w:val="0029327F"/>
    <w:rsid w:val="002A2907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8B0C37"/>
    <w:rsid w:val="0093114C"/>
    <w:rsid w:val="00A13077"/>
    <w:rsid w:val="00A35C57"/>
    <w:rsid w:val="00AA203D"/>
    <w:rsid w:val="00AD445E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74D8B-963F-4544-9F07-242FEC5C4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Luiza Szymala</cp:lastModifiedBy>
  <cp:revision>13</cp:revision>
  <dcterms:created xsi:type="dcterms:W3CDTF">2025-04-17T07:12:00Z</dcterms:created>
  <dcterms:modified xsi:type="dcterms:W3CDTF">2025-05-27T12:44:00Z</dcterms:modified>
</cp:coreProperties>
</file>